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Style w:val="InternetLink"/>
          <w:rFonts w:eastAsia="Times New Roman" w:cs="Times New Roman" w:ascii="FreeSans" w:hAnsi="FreeSans"/>
          <w:b/>
          <w:bCs/>
          <w:color w:val="000000"/>
          <w:sz w:val="24"/>
          <w:szCs w:val="24"/>
          <w:u w:val="none"/>
          <w:lang w:bidi="hi-IN"/>
        </w:rPr>
        <w:t xml:space="preserve">High Commission of India </w:t>
      </w:r>
    </w:p>
    <w:p>
      <w:pPr>
        <w:pStyle w:val="Normal"/>
        <w:spacing w:lineRule="auto" w:line="240" w:before="0" w:after="0"/>
        <w:jc w:val="center"/>
        <w:rPr/>
      </w:pPr>
      <w:r>
        <w:rPr>
          <w:rStyle w:val="InternetLink"/>
          <w:rFonts w:eastAsia="Times New Roman" w:cs="Times New Roman" w:ascii="FreeSans" w:hAnsi="FreeSans"/>
          <w:b/>
          <w:bCs/>
          <w:color w:val="000000"/>
          <w:sz w:val="24"/>
          <w:szCs w:val="24"/>
          <w:u w:val="none"/>
          <w:lang w:bidi="hi-IN"/>
        </w:rPr>
        <w:t xml:space="preserve">Georgetown </w:t>
      </w:r>
    </w:p>
    <w:p>
      <w:pPr>
        <w:pStyle w:val="Normal"/>
        <w:spacing w:lineRule="auto" w:line="240" w:before="0" w:after="0"/>
        <w:jc w:val="center"/>
        <w:rPr>
          <w:rStyle w:val="InternetLink"/>
          <w:sz w:val="24"/>
          <w:szCs w:val="24"/>
        </w:rPr>
      </w:pPr>
      <w:r>
        <w:rPr>
          <w:rFonts w:eastAsia="Times New Roman" w:cs="Times New Roman" w:ascii="FreeSans" w:hAnsi="FreeSans"/>
          <w:b/>
          <w:bCs/>
          <w:color w:val="000000"/>
          <w:sz w:val="24"/>
          <w:szCs w:val="24"/>
          <w:u w:val="none"/>
          <w:lang w:bidi="hi-IN"/>
        </w:rPr>
      </w:r>
    </w:p>
    <w:p>
      <w:pPr>
        <w:pStyle w:val="Normal"/>
        <w:spacing w:lineRule="auto" w:line="240" w:before="0" w:after="0"/>
        <w:jc w:val="center"/>
        <w:rPr/>
      </w:pPr>
      <w:r>
        <w:rPr>
          <w:rStyle w:val="InternetLink"/>
          <w:rFonts w:eastAsia="Times New Roman" w:cs="Times New Roman" w:ascii="FreeSans" w:hAnsi="FreeSans"/>
          <w:b/>
          <w:bCs/>
          <w:color w:val="000000"/>
          <w:sz w:val="24"/>
          <w:szCs w:val="24"/>
          <w:u w:val="none"/>
          <w:lang w:bidi="hi-IN"/>
        </w:rPr>
        <w:t xml:space="preserve">Brief on </w:t>
      </w:r>
      <w:r>
        <w:rPr>
          <w:rStyle w:val="InternetLink"/>
          <w:rFonts w:eastAsia="Times New Roman" w:cs="Times New Roman" w:ascii="FreeSans" w:hAnsi="FreeSans"/>
          <w:b/>
          <w:bCs/>
          <w:color w:val="000000"/>
          <w:sz w:val="24"/>
          <w:szCs w:val="24"/>
          <w:u w:val="none"/>
          <w:lang w:bidi="hi-IN"/>
        </w:rPr>
        <w:t xml:space="preserve">St Kitts (Christopher) and Nevis </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St. Kitts &amp; Nevis is a small island country, named after Christopher Columbus which became a British colony in 1623, got internal autonomy in 1967 and independence in 1983.  The population of St. Kitts and Nevis is little more than 54,000 people.</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rPr>
          <w:rFonts w:ascii="FreeSans" w:hAnsi="FreeSans" w:eastAsia="Times New Roman" w:cs="Times New Roman"/>
          <w:color w:val="000000"/>
          <w:sz w:val="24"/>
          <w:szCs w:val="24"/>
          <w:u w:val="none"/>
          <w:lang w:bidi="hi-IN"/>
        </w:rPr>
      </w:pPr>
      <w:r>
        <w:rPr>
          <w:rStyle w:val="InternetLink"/>
          <w:rFonts w:eastAsia="Times New Roman" w:cs="Times New Roman" w:ascii="FreeSans" w:hAnsi="FreeSans"/>
          <w:color w:val="111111"/>
          <w:sz w:val="24"/>
          <w:szCs w:val="24"/>
          <w:lang w:bidi="hi-IN"/>
        </w:rPr>
        <w:t>Government:</w:t>
      </w:r>
    </w:p>
    <w:p>
      <w:pPr>
        <w:pStyle w:val="Normal"/>
        <w:spacing w:lineRule="auto" w:line="240" w:before="0" w:after="0"/>
        <w:rPr>
          <w:rStyle w:val="InternetLink"/>
          <w:color w:val="111111"/>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 xml:space="preserve">St. Kitts &amp; Nevis is officially headed by the Queen Elizabeth II of U.K. represented by a Governor General.  It has a 14- member uni-cameral legislative, 11 of which are directly elected and three members are nominated to the House, out of which 2 are nominated on the advice of the Prime Minister and 1 on the advice of the Leader of the Opposition.  Indian High Commissioner to Guyana, with residence at Georgetown, is concurrently accredited to St. Kitts &amp; Nevis.  </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rPr>
          <w:rFonts w:ascii="FreeSans" w:hAnsi="FreeSans" w:eastAsia="Times New Roman" w:cs="Times New Roman"/>
          <w:color w:val="000000"/>
          <w:sz w:val="24"/>
          <w:szCs w:val="24"/>
          <w:u w:val="none"/>
          <w:lang w:bidi="hi-IN"/>
        </w:rPr>
      </w:pPr>
      <w:r>
        <w:rPr>
          <w:rStyle w:val="InternetLink"/>
          <w:rFonts w:eastAsia="Times New Roman" w:cs="Times New Roman" w:ascii="FreeSans" w:hAnsi="FreeSans"/>
          <w:color w:val="000000"/>
          <w:sz w:val="24"/>
          <w:szCs w:val="24"/>
          <w:lang w:bidi="hi-IN"/>
        </w:rPr>
        <w:t>Bilateral relations:</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 xml:space="preserve">India and St Kitts &amp; Nevis maintain friendly and cordial relations. On account of extensive damages suffered by St. Kitts and Nevis due to hurricane Luis in 1995, the Government of India provided Rs. 5 lakhs as hurricane relief assistance, a gesture which was greatly appreciated by the Government of St. Kitts and Nevis.  Shri Prakash Shah, the then Permanent Representative to the UN, New York visited St. Kitts &amp; Nevis as Special Envoy of the Foreign Minister in May 1996 for exchange of views on matters of mutual interests.  In July 2007, India and St. Kitts signed an MoU for enhancing the mechanism of Foreign Office Consultations at bureaucratic level.  </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St Kitts &amp; Nevis is generally supportive of Indian’s position in international fora.  It also supported India’s resolution at the UN General Assembly in May 2007 to observe Mahatma Gandhi’s date of birth, October 2, as International Day of Non-violence.</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 xml:space="preserve">The last known visit of a dignitary from St. Kitts and Nevis to India was by Prime Minister Dr. Denzil Douglas in his personal capacity from April 5-10, 2012. </w:t>
      </w:r>
    </w:p>
    <w:p>
      <w:pPr>
        <w:pStyle w:val="Normal"/>
        <w:spacing w:lineRule="auto" w:line="240" w:before="0" w:after="0"/>
        <w:jc w:val="both"/>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Hon’ble Minister of State for Consumer Affairs, Food &amp; Public Distribution and Commerce &amp; Industry, Shri C.R. Chaudhary, visited  St. Kitts and Nevis from April 25-28, 2018 under Government of India’s “Outreach Initiative.”  The visit of Shri Chaudhary was the first-ever visit by an Indian Minister to the country since its independence in 1983.</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 xml:space="preserve">India has  been assisting St. Kitts and Nevis in capacity building under India Trade and Economic Cooperation (ITEC) Programme.   2 slots under ITEC have been offered to St. Kitts and Nevis for the year 2019-20. </w:t>
      </w:r>
    </w:p>
    <w:p>
      <w:pPr>
        <w:pStyle w:val="Normal"/>
        <w:spacing w:lineRule="auto" w:line="240" w:before="0" w:after="0"/>
        <w:rPr>
          <w:rStyle w:val="InternetLink"/>
          <w:rFonts w:ascii="FreeSans" w:hAnsi="FreeSans" w:eastAsia="Times New Roman" w:cs="Times New Roman"/>
          <w:sz w:val="24"/>
          <w:szCs w:val="24"/>
          <w:lang w:bidi="hi-IN"/>
        </w:rPr>
      </w:pPr>
      <w:r>
        <w:rPr/>
      </w:r>
    </w:p>
    <w:p>
      <w:pPr>
        <w:pStyle w:val="Normal"/>
        <w:spacing w:lineRule="auto" w:line="240" w:before="0" w:after="0"/>
        <w:rPr/>
      </w:pPr>
      <w:r>
        <w:rPr>
          <w:rStyle w:val="InternetLink"/>
          <w:rFonts w:eastAsia="Times New Roman" w:cs="Times New Roman" w:ascii="FreeSans" w:hAnsi="FreeSans"/>
          <w:color w:val="000000"/>
          <w:sz w:val="24"/>
          <w:szCs w:val="24"/>
          <w:u w:val="single"/>
          <w:lang w:bidi="hi-IN"/>
        </w:rPr>
        <w:t>Bilateral trade and investment:</w:t>
      </w:r>
    </w:p>
    <w:p>
      <w:pPr>
        <w:pStyle w:val="Normal"/>
        <w:spacing w:lineRule="auto" w:line="240" w:before="0" w:after="0"/>
        <w:rPr/>
      </w:pPr>
      <w:r>
        <w:rPr>
          <w:rStyle w:val="InternetLink"/>
          <w:rFonts w:eastAsia="Times New Roman" w:cs="Times New Roman" w:ascii="FreeSans" w:hAnsi="FreeSans"/>
          <w:color w:val="000000"/>
          <w:sz w:val="24"/>
          <w:szCs w:val="24"/>
          <w:u w:val="none"/>
          <w:lang w:bidi="hi-IN"/>
        </w:rPr>
        <w:tab/>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 xml:space="preserve">St. Kitts and Nevis’ trade with India is marginal as its imports are mostly tourism related and its exports are not geared to Indian market.  Indian businessmen import pharmaceuticals, garments, jewelry etc from India.  While India’s export to St. Kitts and Nevis during the period 2018-19 was to the tune of US$ 2.37 million, India did not import anything during the same period. </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Spacing"/>
        <w:spacing w:lineRule="auto" w:line="240"/>
        <w:jc w:val="center"/>
        <w:rPr>
          <w:rFonts w:ascii="FreeSans" w:hAnsi="FreeSans" w:cs="Times New Roman"/>
          <w:b/>
          <w:b/>
          <w:sz w:val="24"/>
          <w:szCs w:val="24"/>
        </w:rPr>
      </w:pPr>
      <w:r>
        <w:rPr>
          <w:rFonts w:cs="Times New Roman" w:ascii="FreeSans" w:hAnsi="FreeSans"/>
          <w:b/>
          <w:sz w:val="24"/>
          <w:szCs w:val="24"/>
        </w:rPr>
      </w:r>
    </w:p>
    <w:p>
      <w:pPr>
        <w:pStyle w:val="NoSpacing"/>
        <w:spacing w:lineRule="auto" w:line="240"/>
        <w:jc w:val="center"/>
        <w:rPr>
          <w:sz w:val="24"/>
          <w:szCs w:val="24"/>
        </w:rPr>
      </w:pPr>
      <w:r>
        <w:rPr>
          <w:rFonts w:cs="Times New Roman" w:ascii="FreeSans" w:hAnsi="FreeSans"/>
          <w:b/>
          <w:sz w:val="24"/>
          <w:szCs w:val="24"/>
        </w:rPr>
        <w:t xml:space="preserve">Trade between India and </w:t>
      </w:r>
      <w:r>
        <w:rPr>
          <w:rFonts w:cs="Times New Roman" w:ascii="FreeSans" w:hAnsi="FreeSans"/>
          <w:b/>
          <w:sz w:val="24"/>
          <w:szCs w:val="24"/>
          <w:u w:val="none"/>
        </w:rPr>
        <w:t>St. Kitts &amp; Nevis</w:t>
      </w:r>
      <w:r>
        <w:rPr>
          <w:rFonts w:cs="Times New Roman" w:ascii="FreeSans" w:hAnsi="FreeSans"/>
          <w:b/>
          <w:sz w:val="24"/>
          <w:szCs w:val="24"/>
        </w:rPr>
        <w:t xml:space="preserve"> as per statistics by </w:t>
      </w:r>
    </w:p>
    <w:p>
      <w:pPr>
        <w:pStyle w:val="NoSpacing"/>
        <w:spacing w:lineRule="auto" w:line="240"/>
        <w:jc w:val="center"/>
        <w:rPr>
          <w:sz w:val="24"/>
          <w:szCs w:val="24"/>
        </w:rPr>
      </w:pPr>
      <w:r>
        <w:rPr>
          <w:rFonts w:cs="Times New Roman" w:ascii="FreeSans" w:hAnsi="FreeSans"/>
          <w:b/>
          <w:sz w:val="24"/>
          <w:szCs w:val="24"/>
        </w:rPr>
        <w:t>Ministry of Commerce, New Delhi</w:t>
      </w:r>
    </w:p>
    <w:p>
      <w:pPr>
        <w:pStyle w:val="NoSpacing"/>
        <w:spacing w:lineRule="auto" w:line="240"/>
        <w:rPr>
          <w:sz w:val="24"/>
          <w:szCs w:val="24"/>
        </w:rPr>
      </w:pPr>
      <w:r>
        <w:rPr>
          <w:rFonts w:cs="Times New Roman" w:ascii="FreeSans" w:hAnsi="FreeSans"/>
          <w:sz w:val="24"/>
          <w:szCs w:val="24"/>
        </w:rPr>
        <w:tab/>
        <w:tab/>
        <w:tab/>
        <w:tab/>
        <w:tab/>
        <w:tab/>
        <w:tab/>
        <w:tab/>
        <w:tab/>
        <w:tab/>
        <w:t xml:space="preserve"> (In US$ Millions)</w:t>
      </w:r>
    </w:p>
    <w:tbl>
      <w:tblPr>
        <w:tblStyle w:val="TableGrid"/>
        <w:tblW w:w="9033" w:type="dxa"/>
        <w:jc w:val="left"/>
        <w:tblInd w:w="6" w:type="dxa"/>
        <w:tblBorders/>
        <w:tblCellMar>
          <w:top w:w="0" w:type="dxa"/>
          <w:left w:w="108" w:type="dxa"/>
          <w:bottom w:w="0" w:type="dxa"/>
          <w:right w:w="108" w:type="dxa"/>
        </w:tblCellMar>
        <w:tblLook w:noVBand="1" w:val="04a0" w:noHBand="0" w:lastColumn="0" w:firstColumn="1" w:lastRow="0" w:firstRow="1"/>
      </w:tblPr>
      <w:tblGrid>
        <w:gridCol w:w="1728"/>
        <w:gridCol w:w="1487"/>
        <w:gridCol w:w="1491"/>
        <w:gridCol w:w="1453"/>
        <w:gridCol w:w="1314"/>
        <w:gridCol w:w="1559"/>
      </w:tblGrid>
      <w:tr>
        <w:trPr>
          <w:trHeight w:val="300" w:hRule="atLeast"/>
        </w:trPr>
        <w:tc>
          <w:tcPr>
            <w:tcW w:w="1728" w:type="dxa"/>
            <w:tcBorders/>
            <w:shd w:fill="auto" w:val="clear"/>
          </w:tcPr>
          <w:p>
            <w:pPr>
              <w:pStyle w:val="NoSpacing"/>
              <w:spacing w:lineRule="auto" w:line="240" w:before="0" w:after="0"/>
              <w:rPr>
                <w:rFonts w:ascii="FreeSans" w:hAnsi="FreeSans" w:cs="Times New Roman"/>
                <w:sz w:val="24"/>
                <w:szCs w:val="24"/>
                <w:lang w:val="en-US"/>
              </w:rPr>
            </w:pPr>
            <w:r>
              <w:rPr>
                <w:rFonts w:cs="Times New Roman" w:ascii="FreeSans" w:hAnsi="FreeSans"/>
                <w:sz w:val="24"/>
                <w:szCs w:val="24"/>
                <w:lang w:val="en-US"/>
              </w:rPr>
            </w:r>
          </w:p>
        </w:tc>
        <w:tc>
          <w:tcPr>
            <w:tcW w:w="1487" w:type="dxa"/>
            <w:tcBorders/>
            <w:shd w:fill="auto" w:val="clear"/>
          </w:tcPr>
          <w:p>
            <w:pPr>
              <w:pStyle w:val="NoSpacing"/>
              <w:spacing w:lineRule="auto" w:line="240" w:before="0" w:after="0"/>
              <w:jc w:val="center"/>
              <w:rPr>
                <w:rFonts w:ascii="FreeSans" w:hAnsi="FreeSans" w:cs="Times New Roman"/>
                <w:b/>
                <w:b/>
                <w:sz w:val="24"/>
                <w:szCs w:val="24"/>
                <w:lang w:val="en-US"/>
              </w:rPr>
            </w:pPr>
            <w:r>
              <w:rPr>
                <w:rFonts w:cs="Times New Roman" w:ascii="FreeSans" w:hAnsi="FreeSans"/>
                <w:b/>
                <w:sz w:val="24"/>
                <w:szCs w:val="24"/>
                <w:lang w:val="en-US"/>
              </w:rPr>
            </w:r>
          </w:p>
          <w:p>
            <w:pPr>
              <w:pStyle w:val="NoSpacing"/>
              <w:spacing w:lineRule="auto" w:line="240" w:before="0" w:after="0"/>
              <w:jc w:val="center"/>
              <w:rPr>
                <w:sz w:val="24"/>
                <w:szCs w:val="24"/>
              </w:rPr>
            </w:pPr>
            <w:r>
              <w:rPr>
                <w:rFonts w:cs="Times New Roman" w:ascii="FreeSans" w:hAnsi="FreeSans"/>
                <w:b/>
                <w:sz w:val="24"/>
                <w:szCs w:val="24"/>
                <w:lang w:val="en-US"/>
              </w:rPr>
              <w:t>2014-15</w:t>
            </w:r>
          </w:p>
        </w:tc>
        <w:tc>
          <w:tcPr>
            <w:tcW w:w="1491" w:type="dxa"/>
            <w:tcBorders/>
            <w:shd w:fill="auto" w:val="clear"/>
          </w:tcPr>
          <w:p>
            <w:pPr>
              <w:pStyle w:val="NoSpacing"/>
              <w:spacing w:lineRule="auto" w:line="240" w:before="0" w:after="0"/>
              <w:jc w:val="center"/>
              <w:rPr>
                <w:rFonts w:ascii="FreeSans" w:hAnsi="FreeSans" w:cs="Times New Roman"/>
                <w:b/>
                <w:b/>
                <w:sz w:val="24"/>
                <w:szCs w:val="24"/>
                <w:lang w:val="en-US"/>
              </w:rPr>
            </w:pPr>
            <w:r>
              <w:rPr>
                <w:rFonts w:cs="Times New Roman" w:ascii="FreeSans" w:hAnsi="FreeSans"/>
                <w:b/>
                <w:sz w:val="24"/>
                <w:szCs w:val="24"/>
                <w:lang w:val="en-US"/>
              </w:rPr>
            </w:r>
          </w:p>
          <w:p>
            <w:pPr>
              <w:pStyle w:val="NoSpacing"/>
              <w:spacing w:lineRule="auto" w:line="240" w:before="0" w:after="0"/>
              <w:jc w:val="center"/>
              <w:rPr>
                <w:sz w:val="24"/>
                <w:szCs w:val="24"/>
              </w:rPr>
            </w:pPr>
            <w:r>
              <w:rPr>
                <w:rFonts w:cs="Times New Roman" w:ascii="FreeSans" w:hAnsi="FreeSans"/>
                <w:b/>
                <w:sz w:val="24"/>
                <w:szCs w:val="24"/>
                <w:lang w:val="en-US"/>
              </w:rPr>
              <w:t>2015-16</w:t>
            </w:r>
          </w:p>
        </w:tc>
        <w:tc>
          <w:tcPr>
            <w:tcW w:w="1453" w:type="dxa"/>
            <w:tcBorders/>
            <w:shd w:fill="auto" w:val="clear"/>
          </w:tcPr>
          <w:p>
            <w:pPr>
              <w:pStyle w:val="NoSpacing"/>
              <w:spacing w:lineRule="auto" w:line="240" w:before="0" w:after="0"/>
              <w:jc w:val="center"/>
              <w:rPr>
                <w:rFonts w:ascii="FreeSans" w:hAnsi="FreeSans" w:cs="Times New Roman"/>
                <w:b/>
                <w:b/>
                <w:sz w:val="24"/>
                <w:szCs w:val="24"/>
                <w:lang w:val="en-US"/>
              </w:rPr>
            </w:pPr>
            <w:r>
              <w:rPr>
                <w:rFonts w:cs="Times New Roman" w:ascii="FreeSans" w:hAnsi="FreeSans"/>
                <w:b/>
                <w:sz w:val="24"/>
                <w:szCs w:val="24"/>
                <w:lang w:val="en-US"/>
              </w:rPr>
            </w:r>
          </w:p>
          <w:p>
            <w:pPr>
              <w:pStyle w:val="NoSpacing"/>
              <w:spacing w:lineRule="auto" w:line="240" w:before="0" w:after="0"/>
              <w:jc w:val="center"/>
              <w:rPr>
                <w:sz w:val="24"/>
                <w:szCs w:val="24"/>
              </w:rPr>
            </w:pPr>
            <w:r>
              <w:rPr>
                <w:rFonts w:cs="Times New Roman" w:ascii="FreeSans" w:hAnsi="FreeSans"/>
                <w:b/>
                <w:sz w:val="24"/>
                <w:szCs w:val="24"/>
                <w:lang w:val="en-US"/>
              </w:rPr>
              <w:t>2016-17</w:t>
            </w:r>
          </w:p>
        </w:tc>
        <w:tc>
          <w:tcPr>
            <w:tcW w:w="1314" w:type="dxa"/>
            <w:tcBorders/>
            <w:shd w:fill="auto" w:val="clear"/>
          </w:tcPr>
          <w:p>
            <w:pPr>
              <w:pStyle w:val="NoSpacing"/>
              <w:spacing w:lineRule="auto" w:line="240" w:before="0" w:after="0"/>
              <w:jc w:val="center"/>
              <w:rPr>
                <w:rFonts w:ascii="FreeSans" w:hAnsi="FreeSans" w:cs="Times New Roman"/>
                <w:b/>
                <w:b/>
                <w:sz w:val="24"/>
                <w:szCs w:val="24"/>
                <w:lang w:val="en-US"/>
              </w:rPr>
            </w:pPr>
            <w:r>
              <w:rPr>
                <w:rFonts w:cs="Times New Roman" w:ascii="FreeSans" w:hAnsi="FreeSans"/>
                <w:b/>
                <w:sz w:val="24"/>
                <w:szCs w:val="24"/>
                <w:lang w:val="en-US"/>
              </w:rPr>
            </w:r>
          </w:p>
          <w:p>
            <w:pPr>
              <w:pStyle w:val="NoSpacing"/>
              <w:spacing w:lineRule="auto" w:line="240" w:before="0" w:after="0"/>
              <w:jc w:val="center"/>
              <w:rPr>
                <w:sz w:val="24"/>
                <w:szCs w:val="24"/>
              </w:rPr>
            </w:pPr>
            <w:r>
              <w:rPr>
                <w:rFonts w:cs="Times New Roman" w:ascii="FreeSans" w:hAnsi="FreeSans"/>
                <w:b/>
                <w:sz w:val="24"/>
                <w:szCs w:val="24"/>
                <w:lang w:val="en-US"/>
              </w:rPr>
              <w:t>2017-18</w:t>
            </w:r>
          </w:p>
        </w:tc>
        <w:tc>
          <w:tcPr>
            <w:tcW w:w="1559" w:type="dxa"/>
            <w:tcBorders/>
            <w:shd w:fill="auto" w:val="clear"/>
          </w:tcPr>
          <w:p>
            <w:pPr>
              <w:pStyle w:val="NoSpacing"/>
              <w:spacing w:lineRule="auto" w:line="240" w:before="0" w:after="0"/>
              <w:jc w:val="center"/>
              <w:rPr>
                <w:rFonts w:ascii="FreeSans" w:hAnsi="FreeSans" w:cs="Times New Roman"/>
                <w:b/>
                <w:b/>
                <w:sz w:val="24"/>
                <w:szCs w:val="24"/>
                <w:lang w:val="en-US"/>
              </w:rPr>
            </w:pPr>
            <w:r>
              <w:rPr>
                <w:rFonts w:cs="Times New Roman" w:ascii="FreeSans" w:hAnsi="FreeSans"/>
                <w:b/>
                <w:sz w:val="24"/>
                <w:szCs w:val="24"/>
                <w:lang w:val="en-US"/>
              </w:rPr>
            </w:r>
          </w:p>
          <w:p>
            <w:pPr>
              <w:pStyle w:val="NoSpacing"/>
              <w:spacing w:lineRule="auto" w:line="240" w:before="0" w:after="0"/>
              <w:jc w:val="center"/>
              <w:rPr>
                <w:sz w:val="24"/>
                <w:szCs w:val="24"/>
              </w:rPr>
            </w:pPr>
            <w:r>
              <w:rPr>
                <w:rFonts w:cs="Times New Roman" w:ascii="FreeSans" w:hAnsi="FreeSans"/>
                <w:b/>
                <w:sz w:val="24"/>
                <w:szCs w:val="24"/>
                <w:lang w:val="en-US"/>
              </w:rPr>
              <w:t>2018-19</w:t>
            </w:r>
          </w:p>
        </w:tc>
      </w:tr>
      <w:tr>
        <w:trPr>
          <w:trHeight w:val="1110" w:hRule="atLeast"/>
        </w:trPr>
        <w:tc>
          <w:tcPr>
            <w:tcW w:w="1728" w:type="dxa"/>
            <w:tcBorders/>
            <w:shd w:fill="auto" w:val="clear"/>
          </w:tcPr>
          <w:p>
            <w:pPr>
              <w:pStyle w:val="NoSpacing"/>
              <w:spacing w:lineRule="auto" w:line="240" w:before="0" w:after="0"/>
              <w:rPr>
                <w:sz w:val="24"/>
                <w:szCs w:val="24"/>
              </w:rPr>
            </w:pPr>
            <w:r>
              <w:rPr>
                <w:rFonts w:cs="Times New Roman" w:ascii="FreeSans" w:hAnsi="FreeSans"/>
                <w:sz w:val="24"/>
                <w:szCs w:val="24"/>
                <w:lang w:val="en-US"/>
              </w:rPr>
              <w:t xml:space="preserve">India’s </w:t>
            </w:r>
            <w:r>
              <w:rPr>
                <w:rFonts w:cs="Times New Roman" w:ascii="FreeSans" w:hAnsi="FreeSans"/>
                <w:b/>
                <w:sz w:val="24"/>
                <w:szCs w:val="24"/>
                <w:lang w:val="en-US"/>
              </w:rPr>
              <w:t>Exports</w:t>
            </w:r>
            <w:r>
              <w:rPr>
                <w:rFonts w:cs="Times New Roman" w:ascii="FreeSans" w:hAnsi="FreeSans"/>
                <w:sz w:val="24"/>
                <w:szCs w:val="24"/>
                <w:lang w:val="en-US"/>
              </w:rPr>
              <w:t xml:space="preserve"> to St. Kitts &amp; Nevis</w:t>
            </w:r>
          </w:p>
        </w:tc>
        <w:tc>
          <w:tcPr>
            <w:tcW w:w="1487"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1.25</w:t>
            </w:r>
          </w:p>
        </w:tc>
        <w:tc>
          <w:tcPr>
            <w:tcW w:w="1491"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2.20</w:t>
            </w:r>
          </w:p>
        </w:tc>
        <w:tc>
          <w:tcPr>
            <w:tcW w:w="1453"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3.09</w:t>
            </w:r>
          </w:p>
        </w:tc>
        <w:tc>
          <w:tcPr>
            <w:tcW w:w="1314"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2.87</w:t>
            </w:r>
          </w:p>
        </w:tc>
        <w:tc>
          <w:tcPr>
            <w:tcW w:w="1559"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2.37</w:t>
            </w:r>
          </w:p>
        </w:tc>
      </w:tr>
      <w:tr>
        <w:trPr>
          <w:trHeight w:val="1365" w:hRule="atLeast"/>
        </w:trPr>
        <w:tc>
          <w:tcPr>
            <w:tcW w:w="1728" w:type="dxa"/>
            <w:tcBorders/>
            <w:shd w:fill="auto" w:val="clear"/>
          </w:tcPr>
          <w:p>
            <w:pPr>
              <w:pStyle w:val="NoSpacing"/>
              <w:spacing w:lineRule="auto" w:line="240" w:before="0" w:after="0"/>
              <w:rPr>
                <w:sz w:val="24"/>
                <w:szCs w:val="24"/>
              </w:rPr>
            </w:pPr>
            <w:r>
              <w:rPr>
                <w:rFonts w:cs="Times New Roman" w:ascii="FreeSans" w:hAnsi="FreeSans"/>
                <w:sz w:val="24"/>
                <w:szCs w:val="24"/>
                <w:lang w:val="en-US"/>
              </w:rPr>
              <w:t xml:space="preserve">India’s </w:t>
            </w:r>
            <w:r>
              <w:rPr>
                <w:rFonts w:cs="Times New Roman" w:ascii="FreeSans" w:hAnsi="FreeSans"/>
                <w:b/>
                <w:sz w:val="24"/>
                <w:szCs w:val="24"/>
                <w:lang w:val="en-US"/>
              </w:rPr>
              <w:t>Imports</w:t>
            </w:r>
            <w:r>
              <w:rPr>
                <w:rFonts w:cs="Times New Roman" w:ascii="FreeSans" w:hAnsi="FreeSans"/>
                <w:sz w:val="24"/>
                <w:szCs w:val="24"/>
                <w:lang w:val="en-US"/>
              </w:rPr>
              <w:t xml:space="preserve"> from St. Kitts &amp; Nevis </w:t>
            </w:r>
          </w:p>
        </w:tc>
        <w:tc>
          <w:tcPr>
            <w:tcW w:w="1487" w:type="dxa"/>
            <w:tcBorders/>
            <w:shd w:fill="auto" w:val="clear"/>
          </w:tcPr>
          <w:p>
            <w:pPr>
              <w:pStyle w:val="NoSpacing"/>
              <w:spacing w:lineRule="auto" w:line="240" w:before="0" w:after="0"/>
              <w:jc w:val="center"/>
              <w:rPr>
                <w:sz w:val="24"/>
                <w:szCs w:val="24"/>
              </w:rPr>
            </w:pPr>
            <w:r>
              <w:rPr>
                <w:rFonts w:cs="Times New Roman" w:ascii="FreeSans" w:hAnsi="FreeSans"/>
                <w:sz w:val="24"/>
                <w:szCs w:val="24"/>
                <w:lang w:val="en-US"/>
              </w:rPr>
              <w:t>.</w:t>
            </w:r>
          </w:p>
          <w:p>
            <w:pPr>
              <w:pStyle w:val="NoSpacing"/>
              <w:spacing w:lineRule="auto" w:line="240" w:before="0" w:after="0"/>
              <w:jc w:val="center"/>
              <w:rPr>
                <w:sz w:val="24"/>
                <w:szCs w:val="24"/>
              </w:rPr>
            </w:pPr>
            <w:r>
              <w:rPr>
                <w:rFonts w:cs="Times New Roman" w:ascii="FreeSans" w:hAnsi="FreeSans"/>
                <w:sz w:val="24"/>
                <w:szCs w:val="24"/>
                <w:lang w:val="en-US"/>
              </w:rPr>
              <w:t>0.37</w:t>
            </w:r>
          </w:p>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tc>
        <w:tc>
          <w:tcPr>
            <w:tcW w:w="1491"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0.16</w:t>
            </w:r>
          </w:p>
        </w:tc>
        <w:tc>
          <w:tcPr>
            <w:tcW w:w="1453"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0.01</w:t>
            </w:r>
          </w:p>
        </w:tc>
        <w:tc>
          <w:tcPr>
            <w:tcW w:w="1314"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0.00</w:t>
            </w:r>
          </w:p>
        </w:tc>
        <w:tc>
          <w:tcPr>
            <w:tcW w:w="1559" w:type="dxa"/>
            <w:tcBorders/>
            <w:shd w:fill="auto" w:val="clear"/>
          </w:tcPr>
          <w:p>
            <w:pPr>
              <w:pStyle w:val="NoSpacing"/>
              <w:spacing w:lineRule="auto" w:line="240" w:before="0" w:after="0"/>
              <w:jc w:val="center"/>
              <w:rPr>
                <w:rFonts w:ascii="FreeSans" w:hAnsi="FreeSans" w:cs="Times New Roman"/>
                <w:sz w:val="24"/>
                <w:szCs w:val="24"/>
                <w:lang w:val="en-US"/>
              </w:rPr>
            </w:pPr>
            <w:r>
              <w:rPr>
                <w:rFonts w:cs="Times New Roman" w:ascii="FreeSans" w:hAnsi="FreeSans"/>
                <w:sz w:val="24"/>
                <w:szCs w:val="24"/>
                <w:lang w:val="en-US"/>
              </w:rPr>
            </w:r>
          </w:p>
          <w:p>
            <w:pPr>
              <w:pStyle w:val="NoSpacing"/>
              <w:spacing w:lineRule="auto" w:line="240" w:before="0" w:after="0"/>
              <w:jc w:val="center"/>
              <w:rPr>
                <w:sz w:val="24"/>
                <w:szCs w:val="24"/>
              </w:rPr>
            </w:pPr>
            <w:r>
              <w:rPr>
                <w:rFonts w:cs="Times New Roman" w:ascii="FreeSans" w:hAnsi="FreeSans"/>
                <w:sz w:val="24"/>
                <w:szCs w:val="24"/>
                <w:lang w:val="en-US"/>
              </w:rPr>
              <w:t>0.00</w:t>
            </w:r>
          </w:p>
        </w:tc>
      </w:tr>
      <w:tr>
        <w:trPr>
          <w:trHeight w:val="350" w:hRule="atLeast"/>
        </w:trPr>
        <w:tc>
          <w:tcPr>
            <w:tcW w:w="1728" w:type="dxa"/>
            <w:tcBorders/>
            <w:shd w:fill="auto" w:val="clear"/>
          </w:tcPr>
          <w:p>
            <w:pPr>
              <w:pStyle w:val="NoSpacing"/>
              <w:spacing w:lineRule="auto" w:line="240" w:before="0" w:after="0"/>
              <w:rPr>
                <w:sz w:val="24"/>
                <w:szCs w:val="24"/>
              </w:rPr>
            </w:pPr>
            <w:r>
              <w:rPr>
                <w:rFonts w:cs="Times New Roman" w:ascii="FreeSans" w:hAnsi="FreeSans"/>
                <w:b/>
                <w:sz w:val="24"/>
                <w:szCs w:val="24"/>
                <w:lang w:val="en-US"/>
              </w:rPr>
              <w:t>Total Trade</w:t>
            </w:r>
          </w:p>
        </w:tc>
        <w:tc>
          <w:tcPr>
            <w:tcW w:w="1487" w:type="dxa"/>
            <w:tcBorders/>
            <w:shd w:fill="auto" w:val="clear"/>
          </w:tcPr>
          <w:p>
            <w:pPr>
              <w:pStyle w:val="NoSpacing"/>
              <w:spacing w:lineRule="auto" w:line="240" w:before="0" w:after="0"/>
              <w:jc w:val="center"/>
              <w:rPr>
                <w:sz w:val="24"/>
                <w:szCs w:val="24"/>
              </w:rPr>
            </w:pPr>
            <w:r>
              <w:rPr>
                <w:rFonts w:cs="Times New Roman" w:ascii="FreeSans" w:hAnsi="FreeSans"/>
                <w:b/>
                <w:sz w:val="24"/>
                <w:szCs w:val="24"/>
                <w:lang w:val="en-US"/>
              </w:rPr>
              <w:t>1.62</w:t>
            </w:r>
          </w:p>
        </w:tc>
        <w:tc>
          <w:tcPr>
            <w:tcW w:w="1491" w:type="dxa"/>
            <w:tcBorders/>
            <w:shd w:fill="auto" w:val="clear"/>
          </w:tcPr>
          <w:p>
            <w:pPr>
              <w:pStyle w:val="NoSpacing"/>
              <w:spacing w:lineRule="auto" w:line="240" w:before="0" w:after="0"/>
              <w:jc w:val="center"/>
              <w:rPr>
                <w:sz w:val="24"/>
                <w:szCs w:val="24"/>
              </w:rPr>
            </w:pPr>
            <w:r>
              <w:rPr>
                <w:rFonts w:cs="Times New Roman" w:ascii="FreeSans" w:hAnsi="FreeSans"/>
                <w:b/>
                <w:sz w:val="24"/>
                <w:szCs w:val="24"/>
                <w:lang w:val="en-US"/>
              </w:rPr>
              <w:t>2.36</w:t>
            </w:r>
          </w:p>
        </w:tc>
        <w:tc>
          <w:tcPr>
            <w:tcW w:w="1453" w:type="dxa"/>
            <w:tcBorders/>
            <w:shd w:fill="auto" w:val="clear"/>
          </w:tcPr>
          <w:p>
            <w:pPr>
              <w:pStyle w:val="NoSpacing"/>
              <w:spacing w:lineRule="auto" w:line="240" w:before="0" w:after="0"/>
              <w:jc w:val="center"/>
              <w:rPr>
                <w:sz w:val="24"/>
                <w:szCs w:val="24"/>
              </w:rPr>
            </w:pPr>
            <w:r>
              <w:rPr>
                <w:rFonts w:cs="Times New Roman" w:ascii="FreeSans" w:hAnsi="FreeSans"/>
                <w:b/>
                <w:sz w:val="24"/>
                <w:szCs w:val="24"/>
                <w:lang w:val="en-US"/>
              </w:rPr>
              <w:t>3.1</w:t>
            </w:r>
          </w:p>
        </w:tc>
        <w:tc>
          <w:tcPr>
            <w:tcW w:w="1314" w:type="dxa"/>
            <w:tcBorders/>
            <w:shd w:fill="auto" w:val="clear"/>
          </w:tcPr>
          <w:p>
            <w:pPr>
              <w:pStyle w:val="NoSpacing"/>
              <w:spacing w:lineRule="auto" w:line="240" w:before="0" w:after="0"/>
              <w:jc w:val="center"/>
              <w:rPr>
                <w:sz w:val="24"/>
                <w:szCs w:val="24"/>
              </w:rPr>
            </w:pPr>
            <w:r>
              <w:rPr>
                <w:rFonts w:cs="Times New Roman" w:ascii="FreeSans" w:hAnsi="FreeSans"/>
                <w:b/>
                <w:sz w:val="24"/>
                <w:szCs w:val="24"/>
                <w:lang w:val="en-US"/>
              </w:rPr>
              <w:t>2.87</w:t>
            </w:r>
          </w:p>
        </w:tc>
        <w:tc>
          <w:tcPr>
            <w:tcW w:w="1559" w:type="dxa"/>
            <w:tcBorders/>
            <w:shd w:fill="auto" w:val="clear"/>
          </w:tcPr>
          <w:p>
            <w:pPr>
              <w:pStyle w:val="NoSpacing"/>
              <w:spacing w:lineRule="auto" w:line="240" w:before="0" w:after="0"/>
              <w:jc w:val="center"/>
              <w:rPr>
                <w:sz w:val="24"/>
                <w:szCs w:val="24"/>
              </w:rPr>
            </w:pPr>
            <w:r>
              <w:rPr>
                <w:rFonts w:cs="Times New Roman" w:ascii="FreeSans" w:hAnsi="FreeSans"/>
                <w:b/>
                <w:sz w:val="24"/>
                <w:szCs w:val="24"/>
                <w:lang w:val="en-US"/>
              </w:rPr>
              <w:t>2.37</w:t>
            </w:r>
          </w:p>
        </w:tc>
      </w:tr>
      <w:tr>
        <w:trPr>
          <w:trHeight w:val="350" w:hRule="atLeast"/>
        </w:trPr>
        <w:tc>
          <w:tcPr>
            <w:tcW w:w="1728" w:type="dxa"/>
            <w:tcBorders/>
            <w:shd w:fill="auto" w:val="clear"/>
          </w:tcPr>
          <w:p>
            <w:pPr>
              <w:pStyle w:val="NoSpacing"/>
              <w:spacing w:lineRule="auto" w:line="240" w:before="0" w:after="0"/>
              <w:rPr>
                <w:sz w:val="24"/>
                <w:szCs w:val="24"/>
              </w:rPr>
            </w:pPr>
            <w:r>
              <w:rPr>
                <w:rFonts w:cs="Times New Roman" w:ascii="FreeSans" w:hAnsi="FreeSans"/>
                <w:sz w:val="24"/>
                <w:szCs w:val="24"/>
                <w:lang w:val="en-US"/>
              </w:rPr>
              <w:t>Trade Balance</w:t>
            </w:r>
          </w:p>
        </w:tc>
        <w:tc>
          <w:tcPr>
            <w:tcW w:w="1487" w:type="dxa"/>
            <w:tcBorders/>
            <w:shd w:fill="auto" w:val="clear"/>
          </w:tcPr>
          <w:p>
            <w:pPr>
              <w:pStyle w:val="NoSpacing"/>
              <w:spacing w:lineRule="auto" w:line="240" w:before="0" w:after="0"/>
              <w:jc w:val="center"/>
              <w:rPr>
                <w:sz w:val="24"/>
                <w:szCs w:val="24"/>
              </w:rPr>
            </w:pPr>
            <w:r>
              <w:rPr>
                <w:rFonts w:cs="Times New Roman" w:ascii="FreeSans" w:hAnsi="FreeSans"/>
                <w:sz w:val="24"/>
                <w:szCs w:val="24"/>
                <w:lang w:val="en-US"/>
              </w:rPr>
              <w:t>(+) 0.88</w:t>
            </w:r>
          </w:p>
        </w:tc>
        <w:tc>
          <w:tcPr>
            <w:tcW w:w="1491" w:type="dxa"/>
            <w:tcBorders/>
            <w:shd w:fill="auto" w:val="clear"/>
          </w:tcPr>
          <w:p>
            <w:pPr>
              <w:pStyle w:val="NoSpacing"/>
              <w:spacing w:lineRule="auto" w:line="240" w:before="0" w:after="0"/>
              <w:jc w:val="center"/>
              <w:rPr>
                <w:sz w:val="24"/>
                <w:szCs w:val="24"/>
              </w:rPr>
            </w:pPr>
            <w:r>
              <w:rPr>
                <w:rFonts w:cs="Times New Roman" w:ascii="FreeSans" w:hAnsi="FreeSans"/>
                <w:sz w:val="24"/>
                <w:szCs w:val="24"/>
                <w:lang w:val="en-US"/>
              </w:rPr>
              <w:t>(+) 2.04</w:t>
            </w:r>
          </w:p>
        </w:tc>
        <w:tc>
          <w:tcPr>
            <w:tcW w:w="1453" w:type="dxa"/>
            <w:tcBorders/>
            <w:shd w:fill="auto" w:val="clear"/>
          </w:tcPr>
          <w:p>
            <w:pPr>
              <w:pStyle w:val="NoSpacing"/>
              <w:spacing w:lineRule="auto" w:line="240" w:before="0" w:after="0"/>
              <w:jc w:val="center"/>
              <w:rPr>
                <w:sz w:val="24"/>
                <w:szCs w:val="24"/>
              </w:rPr>
            </w:pPr>
            <w:r>
              <w:rPr>
                <w:rFonts w:cs="Times New Roman" w:ascii="FreeSans" w:hAnsi="FreeSans"/>
                <w:sz w:val="24"/>
                <w:szCs w:val="24"/>
                <w:lang w:val="en-US"/>
              </w:rPr>
              <w:t>(+) 2.83</w:t>
            </w:r>
          </w:p>
        </w:tc>
        <w:tc>
          <w:tcPr>
            <w:tcW w:w="1314" w:type="dxa"/>
            <w:tcBorders/>
            <w:shd w:fill="auto" w:val="clear"/>
          </w:tcPr>
          <w:p>
            <w:pPr>
              <w:pStyle w:val="NoSpacing"/>
              <w:spacing w:lineRule="auto" w:line="240" w:before="0" w:after="0"/>
              <w:jc w:val="center"/>
              <w:rPr>
                <w:sz w:val="24"/>
                <w:szCs w:val="24"/>
              </w:rPr>
            </w:pPr>
            <w:r>
              <w:rPr>
                <w:rFonts w:cs="Times New Roman" w:ascii="FreeSans" w:hAnsi="FreeSans"/>
                <w:sz w:val="24"/>
                <w:szCs w:val="24"/>
                <w:lang w:val="en-US"/>
              </w:rPr>
              <w:t>(+) 2.87</w:t>
            </w:r>
          </w:p>
        </w:tc>
        <w:tc>
          <w:tcPr>
            <w:tcW w:w="1559" w:type="dxa"/>
            <w:tcBorders/>
            <w:shd w:fill="auto" w:val="clear"/>
          </w:tcPr>
          <w:p>
            <w:pPr>
              <w:pStyle w:val="NoSpacing"/>
              <w:spacing w:lineRule="auto" w:line="240" w:before="0" w:after="0"/>
              <w:jc w:val="center"/>
              <w:rPr>
                <w:sz w:val="24"/>
                <w:szCs w:val="24"/>
              </w:rPr>
            </w:pPr>
            <w:r>
              <w:rPr>
                <w:rFonts w:cs="Times New Roman" w:ascii="FreeSans" w:hAnsi="FreeSans"/>
                <w:sz w:val="24"/>
                <w:szCs w:val="24"/>
                <w:lang w:val="en-US"/>
              </w:rPr>
              <w:t>(+) 2.37</w:t>
            </w:r>
          </w:p>
        </w:tc>
      </w:tr>
    </w:tbl>
    <w:p>
      <w:pPr>
        <w:pStyle w:val="NoSpacing"/>
        <w:spacing w:lineRule="auto" w:line="240" w:before="0" w:after="0"/>
        <w:rPr>
          <w:rStyle w:val="InternetLink"/>
          <w:sz w:val="24"/>
          <w:szCs w:val="24"/>
        </w:rPr>
      </w:pPr>
      <w:r>
        <w:rPr>
          <w:rFonts w:eastAsia="Times New Roman" w:cs="Times New Roman" w:ascii="FreeSans" w:hAnsi="FreeSans"/>
          <w:b/>
          <w:color w:val="000000"/>
          <w:sz w:val="24"/>
          <w:szCs w:val="24"/>
          <w:u w:val="none"/>
          <w:lang w:bidi="hi-IN"/>
        </w:rPr>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 xml:space="preserve">There are potential business opportunities such as establishing Medical College, Ayurvedic Resort and IT Call Centres, installation of solar plants/ renewable energy and controlled environment agriculture. </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rPr>
          <w:rFonts w:ascii="FreeSans" w:hAnsi="FreeSans" w:eastAsia="Times New Roman" w:cs="Times New Roman"/>
          <w:color w:val="000000"/>
          <w:sz w:val="24"/>
          <w:szCs w:val="24"/>
          <w:u w:val="none"/>
          <w:lang w:bidi="hi-IN"/>
        </w:rPr>
      </w:pPr>
      <w:r>
        <w:rPr>
          <w:rStyle w:val="InternetLink"/>
          <w:rFonts w:eastAsia="Times New Roman" w:cs="Times New Roman" w:ascii="FreeSans" w:hAnsi="FreeSans"/>
          <w:color w:val="000000"/>
          <w:sz w:val="24"/>
          <w:szCs w:val="24"/>
          <w:lang w:bidi="hi-IN"/>
        </w:rPr>
        <w:t>Other issues:</w:t>
      </w:r>
    </w:p>
    <w:p>
      <w:pPr>
        <w:pStyle w:val="Normal"/>
        <w:spacing w:lineRule="auto" w:line="240" w:before="0" w:after="0"/>
        <w:rPr>
          <w:rStyle w:val="InternetLink"/>
          <w:color w:val="000000"/>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 xml:space="preserve">The International Day of Yoga is celebrated every year in St. Kitts and Nevis. A 10 member Asian Punjabi Folk troupe from ICCR toured St. Kitts and Nevis from 8-10 December 2016 and gave performances. </w:t>
      </w:r>
    </w:p>
    <w:p>
      <w:pPr>
        <w:pStyle w:val="Normal"/>
        <w:spacing w:lineRule="auto" w:line="240" w:before="0" w:after="0"/>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rPr>
          <w:rFonts w:ascii="FreeSans" w:hAnsi="FreeSans" w:eastAsia="Times New Roman" w:cs="Times New Roman"/>
          <w:color w:val="000000"/>
          <w:sz w:val="24"/>
          <w:szCs w:val="24"/>
          <w:u w:val="none"/>
          <w:lang w:bidi="hi-IN"/>
        </w:rPr>
      </w:pPr>
      <w:r>
        <w:rPr>
          <w:rStyle w:val="InternetLink"/>
          <w:rFonts w:eastAsia="Times New Roman" w:cs="Times New Roman" w:ascii="FreeSans" w:hAnsi="FreeSans"/>
          <w:color w:val="000000"/>
          <w:sz w:val="24"/>
          <w:szCs w:val="24"/>
          <w:lang w:bidi="hi-IN"/>
        </w:rPr>
        <w:t xml:space="preserve">Indian community: </w:t>
      </w:r>
    </w:p>
    <w:p>
      <w:pPr>
        <w:pStyle w:val="Normal"/>
        <w:spacing w:lineRule="auto" w:line="240" w:before="0" w:after="0"/>
        <w:jc w:val="both"/>
        <w:rPr/>
      </w:pPr>
      <w:r>
        <w:rPr>
          <w:rStyle w:val="InternetLink"/>
          <w:rFonts w:eastAsia="Times New Roman" w:cs="Times New Roman" w:ascii="FreeSans" w:hAnsi="FreeSans"/>
          <w:color w:val="000000"/>
          <w:sz w:val="24"/>
          <w:szCs w:val="24"/>
          <w:u w:val="none"/>
          <w:lang w:bidi="hi-IN"/>
        </w:rPr>
        <w:tab/>
        <w:t xml:space="preserve">There are approx. 200-250 members of Indian Community which is engaged in small business in St. Kitts and Nevis. The population of Indians in the country is increasing gradually as some of the businessmen have shifted their operations from St Martin to St Kitts recently.  One of the largest off-shore medical institutes in the Caribbean, viz., Windsor University School of Medicine </w:t>
      </w:r>
      <w:r>
        <w:rPr>
          <w:rStyle w:val="InternetLink"/>
          <w:rFonts w:eastAsia="Times New Roman" w:cs="Times New Roman" w:ascii="FreeSans" w:hAnsi="FreeSans"/>
          <w:color w:val="000000"/>
          <w:sz w:val="24"/>
          <w:szCs w:val="24"/>
          <w:u w:val="none"/>
          <w:lang w:bidi="hi-IN"/>
        </w:rPr>
        <w:t xml:space="preserve">in </w:t>
      </w:r>
      <w:r>
        <w:rPr>
          <w:rStyle w:val="InternetLink"/>
          <w:rFonts w:eastAsia="Times New Roman" w:cs="Times New Roman" w:ascii="FreeSans" w:hAnsi="FreeSans"/>
          <w:color w:val="000000"/>
          <w:sz w:val="24"/>
          <w:szCs w:val="24"/>
          <w:u w:val="none"/>
          <w:lang w:bidi="hi-IN"/>
        </w:rPr>
        <w:t xml:space="preserve">St Kitts., run by </w:t>
      </w:r>
      <w:r>
        <w:rPr>
          <w:rStyle w:val="InternetLink"/>
          <w:rFonts w:eastAsia="Times New Roman" w:cs="Times New Roman" w:ascii="FreeSans" w:hAnsi="FreeSans"/>
          <w:color w:val="000000"/>
          <w:sz w:val="24"/>
          <w:szCs w:val="24"/>
          <w:u w:val="none"/>
          <w:lang w:bidi="hi-IN"/>
        </w:rPr>
        <w:t>PIOs,</w:t>
      </w:r>
      <w:r>
        <w:rPr>
          <w:rStyle w:val="InternetLink"/>
          <w:rFonts w:eastAsia="Times New Roman" w:cs="Times New Roman" w:ascii="FreeSans" w:hAnsi="FreeSans"/>
          <w:color w:val="000000"/>
          <w:sz w:val="24"/>
          <w:szCs w:val="24"/>
          <w:u w:val="none"/>
          <w:lang w:bidi="hi-IN"/>
        </w:rPr>
        <w:t>has many Indians working as faculty members.  A few Indian students are also studying in this Medical University.</w:t>
      </w:r>
    </w:p>
    <w:p>
      <w:pPr>
        <w:pStyle w:val="Normal"/>
        <w:spacing w:lineRule="auto" w:line="240" w:before="0" w:after="0"/>
        <w:jc w:val="both"/>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center"/>
        <w:rPr/>
      </w:pPr>
      <w:r>
        <w:rPr>
          <w:rStyle w:val="InternetLink"/>
          <w:rFonts w:eastAsia="Times New Roman" w:cs="Times New Roman" w:ascii="FreeSans" w:hAnsi="FreeSans"/>
          <w:color w:val="000000"/>
          <w:sz w:val="24"/>
          <w:szCs w:val="24"/>
          <w:u w:val="none"/>
          <w:lang w:bidi="hi-IN"/>
        </w:rPr>
        <w:t xml:space="preserve">*** </w:t>
      </w:r>
    </w:p>
    <w:p>
      <w:pPr>
        <w:pStyle w:val="Normal"/>
        <w:spacing w:lineRule="auto" w:line="240" w:before="0" w:after="0"/>
        <w:jc w:val="center"/>
        <w:rPr>
          <w:rStyle w:val="InternetLink"/>
          <w:sz w:val="24"/>
          <w:szCs w:val="24"/>
        </w:rPr>
      </w:pPr>
      <w:r>
        <w:rPr>
          <w:rFonts w:eastAsia="Times New Roman" w:cs="Times New Roman" w:ascii="FreeSans" w:hAnsi="FreeSans"/>
          <w:color w:val="000000"/>
          <w:sz w:val="24"/>
          <w:szCs w:val="24"/>
          <w:u w:val="none"/>
          <w:lang w:bidi="hi-IN"/>
        </w:rPr>
      </w:r>
    </w:p>
    <w:p>
      <w:pPr>
        <w:pStyle w:val="Normal"/>
        <w:spacing w:lineRule="auto" w:line="240" w:before="0" w:after="0"/>
        <w:jc w:val="right"/>
        <w:rPr/>
      </w:pPr>
      <w:r>
        <w:rPr>
          <w:rStyle w:val="InternetLink"/>
          <w:rFonts w:eastAsia="Times New Roman" w:cs="Times New Roman" w:ascii="FreeSans" w:hAnsi="FreeSans"/>
          <w:i/>
          <w:iCs/>
          <w:color w:val="000000"/>
          <w:sz w:val="24"/>
          <w:szCs w:val="24"/>
          <w:u w:val="none"/>
          <w:lang w:bidi="hi-IN"/>
        </w:rPr>
        <w:t>September, 2019</w:t>
      </w:r>
    </w:p>
    <w:p>
      <w:pPr>
        <w:pStyle w:val="Normal"/>
        <w:spacing w:lineRule="auto" w:line="240" w:before="0" w:after="0"/>
        <w:rPr>
          <w:sz w:val="24"/>
          <w:szCs w:val="24"/>
        </w:rPr>
      </w:pPr>
      <w:r>
        <w:rPr>
          <w:sz w:val="24"/>
          <w:szCs w:val="24"/>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FreeSans">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Mangal" w:asciiTheme="minorHAnsi" w:cstheme="minorBidi" w:eastAsiaTheme="minorHAnsi" w:hAnsiTheme="minorHAnsi"/>
      <w:color w:val="00000A"/>
      <w:kern w:val="0"/>
      <w:sz w:val="22"/>
      <w:szCs w:val="22"/>
      <w:lang w:val="en-US" w:eastAsia="en-US" w:bidi="ar-SA"/>
    </w:rPr>
  </w:style>
  <w:style w:type="paragraph" w:styleId="Heading1">
    <w:name w:val="Heading 1"/>
    <w:basedOn w:val="Normal"/>
    <w:link w:val="Heading1Char"/>
    <w:uiPriority w:val="9"/>
    <w:qFormat/>
    <w:rsid w:val="003e5816"/>
    <w:pPr>
      <w:spacing w:lineRule="auto" w:line="240" w:beforeAutospacing="1" w:afterAutospacing="1"/>
      <w:outlineLvl w:val="0"/>
    </w:pPr>
    <w:rPr>
      <w:rFonts w:ascii="Times New Roman" w:hAnsi="Times New Roman" w:eastAsia="Times New Roman" w:cs="Times New Roman"/>
      <w:b/>
      <w:bCs/>
      <w:sz w:val="48"/>
      <w:szCs w:val="48"/>
      <w:lang w:bidi="hi-IN"/>
    </w:rPr>
  </w:style>
  <w:style w:type="paragraph" w:styleId="Heading5">
    <w:name w:val="Heading 5"/>
    <w:basedOn w:val="Normal"/>
    <w:link w:val="Heading5Char"/>
    <w:uiPriority w:val="9"/>
    <w:qFormat/>
    <w:rsid w:val="003e5816"/>
    <w:pPr>
      <w:spacing w:lineRule="auto" w:line="240" w:beforeAutospacing="1" w:afterAutospacing="1"/>
      <w:outlineLvl w:val="4"/>
    </w:pPr>
    <w:rPr>
      <w:rFonts w:ascii="Times New Roman" w:hAnsi="Times New Roman" w:eastAsia="Times New Roman" w:cs="Times New Roman"/>
      <w:b/>
      <w:bCs/>
      <w:sz w:val="20"/>
      <w:szCs w:val="20"/>
      <w:lang w:bidi="hi-IN"/>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e5816"/>
    <w:rPr>
      <w:rFonts w:ascii="Times New Roman" w:hAnsi="Times New Roman" w:eastAsia="Times New Roman" w:cs="Times New Roman"/>
      <w:b/>
      <w:bCs/>
      <w:sz w:val="48"/>
      <w:szCs w:val="48"/>
      <w:lang w:bidi="hi-IN"/>
    </w:rPr>
  </w:style>
  <w:style w:type="character" w:styleId="Heading5Char" w:customStyle="1">
    <w:name w:val="Heading 5 Char"/>
    <w:basedOn w:val="DefaultParagraphFont"/>
    <w:link w:val="Heading5"/>
    <w:uiPriority w:val="9"/>
    <w:qFormat/>
    <w:rsid w:val="003e5816"/>
    <w:rPr>
      <w:rFonts w:ascii="Times New Roman" w:hAnsi="Times New Roman" w:eastAsia="Times New Roman" w:cs="Times New Roman"/>
      <w:b/>
      <w:bCs/>
      <w:sz w:val="20"/>
      <w:szCs w:val="20"/>
      <w:lang w:bidi="hi-IN"/>
    </w:rPr>
  </w:style>
  <w:style w:type="character" w:styleId="InternetLink">
    <w:name w:val="Internet Link"/>
    <w:basedOn w:val="DefaultParagraphFont"/>
    <w:uiPriority w:val="99"/>
    <w:semiHidden/>
    <w:unhideWhenUsed/>
    <w:rsid w:val="003e5816"/>
    <w:rPr>
      <w:color w:val="0000FF"/>
      <w:u w:val="single"/>
    </w:rPr>
  </w:style>
  <w:style w:type="character" w:styleId="Byline" w:customStyle="1">
    <w:name w:val="byline"/>
    <w:basedOn w:val="DefaultParagraphFont"/>
    <w:qFormat/>
    <w:rsid w:val="003e5816"/>
    <w:rPr/>
  </w:style>
  <w:style w:type="character" w:styleId="Strong">
    <w:name w:val="Strong"/>
    <w:basedOn w:val="DefaultParagraphFont"/>
    <w:uiPriority w:val="22"/>
    <w:qFormat/>
    <w:rsid w:val="003e5816"/>
    <w:rPr>
      <w:b/>
      <w:bCs/>
    </w:rPr>
  </w:style>
  <w:style w:type="character" w:styleId="BalloonTextChar" w:customStyle="1">
    <w:name w:val="Balloon Text Char"/>
    <w:basedOn w:val="DefaultParagraphFont"/>
    <w:link w:val="BalloonText"/>
    <w:uiPriority w:val="99"/>
    <w:semiHidden/>
    <w:qFormat/>
    <w:rsid w:val="003e5816"/>
    <w:rPr>
      <w:rFonts w:ascii="Tahoma" w:hAnsi="Tahoma" w:cs="Tahoma"/>
      <w:sz w:val="16"/>
      <w:szCs w:val="16"/>
    </w:rPr>
  </w:style>
  <w:style w:type="character" w:styleId="ListLabel1">
    <w:name w:val="ListLabel 1"/>
    <w:qFormat/>
    <w:rPr>
      <w:rFonts w:ascii="Times New Roman" w:hAnsi="Times New Roman" w:eastAsia="Times New Roman" w:cs="Times New Roman"/>
      <w:color w:val="0000FF"/>
      <w:sz w:val="24"/>
      <w:szCs w:val="24"/>
      <w:u w:val="none"/>
      <w:lang w:bidi="hi-IN"/>
    </w:rPr>
  </w:style>
  <w:style w:type="character" w:styleId="ListLabel2">
    <w:name w:val="ListLabel 2"/>
    <w:qFormat/>
    <w:rPr>
      <w:rFonts w:ascii="Times New Roman" w:hAnsi="Times New Roman" w:eastAsia="Times New Roman" w:cs="Times New Roman"/>
      <w:b/>
      <w:bCs/>
      <w:color w:val="0000FF"/>
      <w:sz w:val="20"/>
      <w:szCs w:val="20"/>
      <w:u w:val="none"/>
      <w:lang w:bidi="hi-IN"/>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3e5816"/>
    <w:pPr>
      <w:spacing w:lineRule="auto" w:line="240" w:beforeAutospacing="1" w:afterAutospacing="1"/>
    </w:pPr>
    <w:rPr>
      <w:rFonts w:ascii="Times New Roman" w:hAnsi="Times New Roman" w:eastAsia="Times New Roman" w:cs="Times New Roman"/>
      <w:sz w:val="24"/>
      <w:szCs w:val="24"/>
      <w:lang w:bidi="hi-IN"/>
    </w:rPr>
  </w:style>
  <w:style w:type="paragraph" w:styleId="BalloonText">
    <w:name w:val="Balloon Text"/>
    <w:basedOn w:val="Normal"/>
    <w:link w:val="BalloonTextChar"/>
    <w:uiPriority w:val="99"/>
    <w:semiHidden/>
    <w:unhideWhenUsed/>
    <w:qFormat/>
    <w:rsid w:val="003e5816"/>
    <w:pPr>
      <w:spacing w:lineRule="auto" w:line="240" w:before="0" w:after="0"/>
    </w:pPr>
    <w:rPr>
      <w:rFonts w:ascii="Tahoma" w:hAnsi="Tahoma" w:cs="Tahoma"/>
      <w:sz w:val="16"/>
      <w:szCs w:val="16"/>
    </w:rPr>
  </w:style>
  <w:style w:type="paragraph" w:styleId="TableContents">
    <w:name w:val="Table Contents"/>
    <w:basedOn w:val="Normal"/>
    <w:qFormat/>
    <w:pPr>
      <w:suppressLineNumbers/>
    </w:pPr>
    <w:rPr/>
  </w:style>
  <w:style w:type="paragraph" w:styleId="NoSpacing">
    <w:name w:val="No Spacing"/>
    <w:qFormat/>
    <w:pPr>
      <w:widowControl/>
      <w:bidi w:val="0"/>
      <w:spacing w:lineRule="auto" w:line="240" w:before="0" w:after="0"/>
      <w:jc w:val="left"/>
    </w:pPr>
    <w:rPr>
      <w:rFonts w:ascii="Calibri" w:hAnsi="Calibri" w:eastAsia="Calibri" w:cs="Mangal"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LibreOffice/6.0.6.2$Linux_X86_64 LibreOffice_project/00$Build-2</Application>
  <Pages>2</Pages>
  <Words>695</Words>
  <Characters>3519</Characters>
  <CharactersWithSpaces>4214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2018-06-29T20:18:00Z</dcterms:created>
  <dc:creator>Indranie</dc:creator>
  <dc:description/>
  <dc:language>en-US</dc:language>
  <cp:lastModifiedBy/>
  <cp:lastPrinted>2019-09-24T17:49:32Z</cp:lastPrinted>
  <dcterms:modified xsi:type="dcterms:W3CDTF">2019-09-24T17:50:27Z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